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91" w:rsidRDefault="0079207C" w:rsidP="0079207C">
      <w:pPr>
        <w:spacing w:line="360" w:lineRule="auto"/>
        <w:ind w:firstLine="567"/>
        <w:jc w:val="center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>ÔN TẬP CAO HỌC VIỆT NAM HỌC 2018</w:t>
      </w:r>
    </w:p>
    <w:p w:rsidR="0079207C" w:rsidRDefault="0079207C" w:rsidP="00B17805">
      <w:pPr>
        <w:spacing w:line="360" w:lineRule="auto"/>
        <w:ind w:firstLine="567"/>
        <w:jc w:val="both"/>
        <w:rPr>
          <w:rStyle w:val="Strong"/>
          <w:sz w:val="26"/>
          <w:szCs w:val="26"/>
          <w:shd w:val="clear" w:color="auto" w:fill="FFFFFF"/>
        </w:rPr>
      </w:pPr>
    </w:p>
    <w:p w:rsidR="0079207C" w:rsidRPr="00DF03B2" w:rsidRDefault="0079207C" w:rsidP="00B17805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DF03B2">
        <w:rPr>
          <w:b/>
          <w:sz w:val="26"/>
          <w:szCs w:val="26"/>
        </w:rPr>
        <w:t xml:space="preserve">1. </w:t>
      </w:r>
      <w:r w:rsidR="00920E09" w:rsidRPr="00DF03B2">
        <w:rPr>
          <w:b/>
          <w:sz w:val="26"/>
          <w:szCs w:val="26"/>
        </w:rPr>
        <w:t>Lý luận về văn hóa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Khái niệm</w:t>
      </w:r>
      <w:r w:rsidR="00DF03B2">
        <w:rPr>
          <w:sz w:val="26"/>
          <w:szCs w:val="26"/>
        </w:rPr>
        <w:t xml:space="preserve"> văn hóa</w:t>
      </w:r>
      <w:r w:rsidR="00494028">
        <w:rPr>
          <w:sz w:val="26"/>
          <w:szCs w:val="26"/>
        </w:rPr>
        <w:t>:</w:t>
      </w:r>
    </w:p>
    <w:p w:rsidR="00494028" w:rsidRDefault="00494028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D35B7D">
        <w:rPr>
          <w:bCs/>
          <w:iCs/>
          <w:sz w:val="26"/>
          <w:szCs w:val="26"/>
          <w:lang w:val="fr-FR"/>
        </w:rPr>
        <w:t>T</w:t>
      </w:r>
      <w:r>
        <w:rPr>
          <w:bCs/>
          <w:iCs/>
          <w:sz w:val="26"/>
          <w:szCs w:val="26"/>
          <w:lang w:val="fr-FR"/>
        </w:rPr>
        <w:t>iếp cận theo từ nguyên Hán Việt</w:t>
      </w:r>
    </w:p>
    <w:p w:rsidR="00494028" w:rsidRDefault="00494028" w:rsidP="0049402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Pr="00D35B7D">
        <w:rPr>
          <w:bCs/>
          <w:iCs/>
          <w:sz w:val="26"/>
          <w:szCs w:val="26"/>
          <w:lang w:val="fr-FR"/>
        </w:rPr>
        <w:t xml:space="preserve">Tiếp cận theo </w:t>
      </w:r>
      <w:r>
        <w:rPr>
          <w:bCs/>
          <w:iCs/>
          <w:sz w:val="26"/>
          <w:szCs w:val="26"/>
          <w:lang w:val="fr-FR"/>
        </w:rPr>
        <w:t>từ gốc tiếng latinh</w:t>
      </w:r>
    </w:p>
    <w:p w:rsidR="00494028" w:rsidRDefault="00494028" w:rsidP="0049402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>
        <w:rPr>
          <w:bCs/>
          <w:iCs/>
          <w:sz w:val="26"/>
          <w:szCs w:val="26"/>
          <w:lang w:val="fr-FR"/>
        </w:rPr>
        <w:t>Tiếp cận theo hướng rộng của khái niệm</w:t>
      </w:r>
    </w:p>
    <w:p w:rsidR="00494028" w:rsidRDefault="00494028" w:rsidP="00494028">
      <w:pPr>
        <w:spacing w:line="360" w:lineRule="auto"/>
        <w:ind w:firstLine="567"/>
        <w:jc w:val="both"/>
        <w:rPr>
          <w:bCs/>
          <w:iCs/>
          <w:sz w:val="26"/>
          <w:szCs w:val="26"/>
          <w:lang w:val="fr-FR"/>
        </w:rPr>
      </w:pPr>
      <w:r>
        <w:rPr>
          <w:sz w:val="26"/>
          <w:szCs w:val="26"/>
        </w:rPr>
        <w:t xml:space="preserve">+ </w:t>
      </w:r>
      <w:r>
        <w:rPr>
          <w:bCs/>
          <w:iCs/>
          <w:sz w:val="26"/>
          <w:szCs w:val="26"/>
          <w:lang w:val="fr-FR"/>
        </w:rPr>
        <w:t>Tiếp cận theo hướng hẹp của khái niệm</w:t>
      </w:r>
    </w:p>
    <w:p w:rsidR="00494028" w:rsidRDefault="00494028" w:rsidP="00494028">
      <w:pPr>
        <w:spacing w:line="360" w:lineRule="auto"/>
        <w:ind w:firstLine="567"/>
        <w:jc w:val="both"/>
        <w:rPr>
          <w:bCs/>
          <w:iCs/>
          <w:sz w:val="26"/>
          <w:szCs w:val="26"/>
          <w:lang w:val="fr-FR"/>
        </w:rPr>
      </w:pPr>
      <w:r>
        <w:rPr>
          <w:bCs/>
          <w:iCs/>
          <w:sz w:val="26"/>
          <w:szCs w:val="26"/>
          <w:lang w:val="fr-FR"/>
        </w:rPr>
        <w:t>+ Tiếp cận theo hướng giá trị</w:t>
      </w:r>
    </w:p>
    <w:p w:rsidR="00494028" w:rsidRDefault="00DF03B2" w:rsidP="0049402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  <w:lang w:val="fr-FR"/>
        </w:rPr>
        <w:t xml:space="preserve">→ </w:t>
      </w:r>
      <w:r w:rsidR="00494028">
        <w:rPr>
          <w:bCs/>
          <w:iCs/>
          <w:sz w:val="26"/>
          <w:szCs w:val="26"/>
          <w:lang w:val="fr-FR"/>
        </w:rPr>
        <w:t>Chọn khái niệm văn hóa của Trần Ngọc Thêm.</w:t>
      </w:r>
    </w:p>
    <w:p w:rsidR="00920E09" w:rsidRPr="00DF03B2" w:rsidRDefault="00920E09" w:rsidP="00B17805">
      <w:pPr>
        <w:spacing w:line="360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- So sánh văn hóa với văn hiến, văn minh, văn vật</w:t>
      </w:r>
      <w:r w:rsidR="00494028">
        <w:rPr>
          <w:sz w:val="26"/>
          <w:szCs w:val="26"/>
        </w:rPr>
        <w:t xml:space="preserve">: </w:t>
      </w:r>
      <w:r w:rsidR="00494028" w:rsidRPr="00DF03B2">
        <w:rPr>
          <w:i/>
          <w:sz w:val="26"/>
          <w:szCs w:val="26"/>
        </w:rPr>
        <w:t>xem Cơ sở văn hóa Việt Nam của Trần Ngọc Thêm.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Đặc trưng và chức năng của văn hóa</w:t>
      </w:r>
    </w:p>
    <w:p w:rsidR="00494028" w:rsidRDefault="00355CEA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Tính hệ thống và chức năng tổ chức xã hội</w:t>
      </w:r>
    </w:p>
    <w:p w:rsidR="00355CEA" w:rsidRDefault="00355CEA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Tính giá trị và chức năng điều chỉnh xã hội</w:t>
      </w:r>
    </w:p>
    <w:p w:rsidR="00355CEA" w:rsidRDefault="00355CEA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Tính </w:t>
      </w:r>
      <w:r w:rsidR="00861EB8">
        <w:rPr>
          <w:sz w:val="26"/>
          <w:szCs w:val="26"/>
        </w:rPr>
        <w:t>nhân sinh và chức năng giao tiếp</w:t>
      </w:r>
    </w:p>
    <w:p w:rsidR="00355CEA" w:rsidRDefault="00355CEA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="00861EB8">
        <w:rPr>
          <w:sz w:val="26"/>
          <w:szCs w:val="26"/>
        </w:rPr>
        <w:t xml:space="preserve"> Tính lịch sử và chức năng giáo dục, đảm bảo tính kế tục của lịch sử</w:t>
      </w:r>
    </w:p>
    <w:p w:rsidR="00920E09" w:rsidRPr="00FE52CE" w:rsidRDefault="00920E09" w:rsidP="00B17805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FE52CE">
        <w:rPr>
          <w:i/>
          <w:sz w:val="26"/>
          <w:szCs w:val="26"/>
        </w:rPr>
        <w:t xml:space="preserve">- Tài liệu tham khảo: </w:t>
      </w:r>
      <w:r w:rsidR="00761FB0" w:rsidRPr="00FE52CE">
        <w:rPr>
          <w:i/>
          <w:sz w:val="26"/>
          <w:szCs w:val="26"/>
          <w:lang w:eastAsia="ar-SA"/>
        </w:rPr>
        <w:t>Trần Ngọc Thêm (2000), Cơ sở văn hoá Việt Nam, Nxb Giáo dục.</w:t>
      </w:r>
    </w:p>
    <w:p w:rsidR="0079207C" w:rsidRPr="00DF03B2" w:rsidRDefault="0079207C" w:rsidP="00B17805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DF03B2">
        <w:rPr>
          <w:b/>
          <w:sz w:val="26"/>
          <w:szCs w:val="26"/>
        </w:rPr>
        <w:t>2.</w:t>
      </w:r>
      <w:r w:rsidR="00920E09" w:rsidRPr="00DF03B2">
        <w:rPr>
          <w:b/>
          <w:sz w:val="26"/>
          <w:szCs w:val="26"/>
        </w:rPr>
        <w:t xml:space="preserve"> Tiêu chí phân vùng văn hóa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Lãnh thổ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Kinh tế - xã hội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Dân cư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Ngôn ngữ, văn hóa</w:t>
      </w:r>
    </w:p>
    <w:p w:rsidR="00761FB0" w:rsidRPr="00FE52CE" w:rsidRDefault="00920E09" w:rsidP="00FE52CE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FE52CE">
        <w:rPr>
          <w:i/>
          <w:sz w:val="26"/>
          <w:szCs w:val="26"/>
        </w:rPr>
        <w:t>- T</w:t>
      </w:r>
      <w:r w:rsidR="00FE52CE">
        <w:rPr>
          <w:i/>
          <w:sz w:val="26"/>
          <w:szCs w:val="26"/>
        </w:rPr>
        <w:t>ài liệu tham khảo</w:t>
      </w:r>
      <w:r w:rsidRPr="00FE52CE">
        <w:rPr>
          <w:i/>
          <w:sz w:val="26"/>
          <w:szCs w:val="26"/>
        </w:rPr>
        <w:t xml:space="preserve">: </w:t>
      </w:r>
      <w:r w:rsidR="00761FB0" w:rsidRPr="00FE52CE">
        <w:rPr>
          <w:i/>
          <w:sz w:val="26"/>
          <w:szCs w:val="26"/>
        </w:rPr>
        <w:t>Trần Quốc Vượng chủ biên (1998), Cơ sở văn hoá Việt Nam, Nxb Giáo dục, Hà Nội; Ngô Đức Thịnh (2004), Văn hoá vùng và phân vùng văn hoá ở Việt Nam, Nxb Trẻ, Thành phố Hồ Chí Minh.</w:t>
      </w:r>
    </w:p>
    <w:p w:rsidR="00FE52CE" w:rsidRDefault="00FE52CE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9207C" w:rsidRPr="00DF03B2" w:rsidRDefault="0079207C" w:rsidP="00FE52CE">
      <w:pPr>
        <w:widowControl w:val="0"/>
        <w:spacing w:before="60" w:after="60" w:line="312" w:lineRule="auto"/>
        <w:ind w:firstLine="525"/>
        <w:contextualSpacing/>
        <w:jc w:val="both"/>
        <w:rPr>
          <w:b/>
          <w:sz w:val="26"/>
          <w:szCs w:val="26"/>
        </w:rPr>
      </w:pPr>
      <w:r w:rsidRPr="00DF03B2">
        <w:rPr>
          <w:b/>
          <w:sz w:val="26"/>
          <w:szCs w:val="26"/>
        </w:rPr>
        <w:lastRenderedPageBreak/>
        <w:t>3.</w:t>
      </w:r>
      <w:r w:rsidR="00920E09" w:rsidRPr="00DF03B2">
        <w:rPr>
          <w:b/>
          <w:sz w:val="26"/>
          <w:szCs w:val="26"/>
        </w:rPr>
        <w:t xml:space="preserve"> Đặc trưng các vùng văn hóa ở Việt Nam</w:t>
      </w:r>
    </w:p>
    <w:p w:rsidR="00920E09" w:rsidRDefault="00920E09" w:rsidP="00FE52CE">
      <w:pPr>
        <w:spacing w:before="60" w:after="6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Theo cách chi</w:t>
      </w:r>
      <w:r w:rsidR="00470824">
        <w:rPr>
          <w:sz w:val="26"/>
          <w:szCs w:val="26"/>
        </w:rPr>
        <w:t>a phân vùng của Trần Quốc Vượng: 6 vùng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Vùng văn hóa Tây Bắc: Tóm tắt đặc điểm tự nhiên và kinh tế, xã hội; đặc trưng về văn hóa.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Vùng văn hóa Việt Bắc: Tóm tắt đặc tự nhiên và kinh tế, xã hội; đặc trưng về văn hóa.</w:t>
      </w:r>
    </w:p>
    <w:p w:rsidR="00470824" w:rsidRDefault="00470824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Vùng văn hóa châu thổ Bắc Bộ: Tóm tắt đặc điểm tự nhiên và kinh tế, xã hội; đặc trưng về văn hóa.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Vùng văn hóa Trung Bộ: Tóm tắt đặc điểm tự nhiên và kinh tế, xã hội; đặc trưng về văn hóa.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Vùng văn hóa Trường Sơn - Tây Nguyên: Tóm tắt đặc điểm tự nhiên và kinh tế, xã hội; đặc trưng về văn hóa.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+ Vùng văn hóa Nam Bộ: Tóm tắt đặc điểm tự nhiên và kinh tế, xã hội; đặc trưng về văn hóa.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Lưu ý: chú trọng Vùng văn hóa </w:t>
      </w:r>
      <w:r w:rsidR="00470824">
        <w:rPr>
          <w:sz w:val="26"/>
          <w:szCs w:val="26"/>
        </w:rPr>
        <w:t>(</w:t>
      </w:r>
      <w:r>
        <w:rPr>
          <w:sz w:val="26"/>
          <w:szCs w:val="26"/>
        </w:rPr>
        <w:t>duyên hải</w:t>
      </w:r>
      <w:r w:rsidR="00470824">
        <w:rPr>
          <w:sz w:val="26"/>
          <w:szCs w:val="26"/>
        </w:rPr>
        <w:t>)</w:t>
      </w:r>
      <w:r>
        <w:rPr>
          <w:sz w:val="26"/>
          <w:szCs w:val="26"/>
        </w:rPr>
        <w:t xml:space="preserve"> Trung Bộ</w:t>
      </w:r>
      <w:r w:rsidR="006A025A">
        <w:rPr>
          <w:sz w:val="26"/>
          <w:szCs w:val="26"/>
        </w:rPr>
        <w:t xml:space="preserve"> (điều kiện tự nhiên, kinh tế xã hội; đặc trưng văn hóa; đặc trưng các tiểu vùng văn hóa: tiểu vùng xứ Huế, tiểu vùng xứ Quảng và tiểu vùng văn hóa cực Nam Trung Bộ).</w:t>
      </w:r>
    </w:p>
    <w:p w:rsidR="0016460E" w:rsidRPr="00FE52CE" w:rsidRDefault="00920E09" w:rsidP="00FE52CE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FE52CE">
        <w:rPr>
          <w:i/>
          <w:sz w:val="26"/>
          <w:szCs w:val="26"/>
        </w:rPr>
        <w:t xml:space="preserve">- Tài liệu tham khảo: </w:t>
      </w:r>
      <w:r w:rsidR="00761FB0" w:rsidRPr="00FE52CE">
        <w:rPr>
          <w:i/>
          <w:sz w:val="26"/>
          <w:szCs w:val="26"/>
        </w:rPr>
        <w:t>Trần Quốc Vượng chủ biên (1998), Cơ sở văn hoá Việt Nam, Nxb Giáo dục, Hà Nội; Ngô Đức Thịnh (2004), Văn hoá vùng và phân vùng văn hoá ở Việt Nam, Nxb Trẻ, Thành phố Hồ Chí Minh</w:t>
      </w:r>
      <w:r w:rsidR="00B44DC7" w:rsidRPr="00FE52CE">
        <w:rPr>
          <w:i/>
          <w:sz w:val="26"/>
          <w:szCs w:val="26"/>
        </w:rPr>
        <w:t xml:space="preserve">; </w:t>
      </w:r>
      <w:r w:rsidR="0016460E" w:rsidRPr="00FE52CE">
        <w:rPr>
          <w:i/>
          <w:sz w:val="26"/>
          <w:szCs w:val="26"/>
        </w:rPr>
        <w:t>Chu Xuân Diên (2002), Cơ sở văn hóa Việt Nam, Nxb Đại học Quốc gia TP Hồ Chí Minh.</w:t>
      </w:r>
    </w:p>
    <w:p w:rsidR="00FE52CE" w:rsidRDefault="0079207C" w:rsidP="00B17805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DF03B2">
        <w:rPr>
          <w:b/>
          <w:sz w:val="26"/>
          <w:szCs w:val="26"/>
        </w:rPr>
        <w:t>4.</w:t>
      </w:r>
      <w:r w:rsidR="00920E09" w:rsidRPr="00DF03B2">
        <w:rPr>
          <w:b/>
          <w:sz w:val="26"/>
          <w:szCs w:val="26"/>
        </w:rPr>
        <w:t xml:space="preserve"> </w:t>
      </w:r>
      <w:r w:rsidR="00FE52CE">
        <w:rPr>
          <w:b/>
          <w:sz w:val="26"/>
          <w:szCs w:val="26"/>
        </w:rPr>
        <w:t>Diễn trình lịch sử của văn hóa Việt Nam</w:t>
      </w:r>
    </w:p>
    <w:p w:rsidR="00FE52CE" w:rsidRDefault="00FE52CE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Đặc trưng văn hóa thời Lý - Trần (văn hóa vật chất, hệ tư tưởng, văn học</w:t>
      </w:r>
      <w:r w:rsidR="00874064">
        <w:rPr>
          <w:sz w:val="26"/>
          <w:szCs w:val="26"/>
        </w:rPr>
        <w:t>, nghệ thuật, điêu khắc</w:t>
      </w:r>
      <w:r>
        <w:rPr>
          <w:sz w:val="26"/>
          <w:szCs w:val="26"/>
        </w:rPr>
        <w:t>)</w:t>
      </w:r>
      <w:r w:rsidR="00874064">
        <w:rPr>
          <w:sz w:val="26"/>
          <w:szCs w:val="26"/>
        </w:rPr>
        <w:t>.</w:t>
      </w:r>
    </w:p>
    <w:p w:rsidR="00874064" w:rsidRDefault="00874064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Đặc trưng văn hóa thời Lê sơ (văn hóa ứng xử với môi trường tự nhiên - đê điều, văn hóa xã hội, ngành nghề/làng nghề, giáo dục, pháp luật, văn học nghệ thuật, kiến trúc, điêu khắc, khoa học…)</w:t>
      </w:r>
    </w:p>
    <w:p w:rsidR="00874064" w:rsidRDefault="00874064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Ảnh hưởng văn hóa phương Tây đến văn hóa Việt Nam giai đoạn 1858 - 1945 (hệ tư tưởng, văn hóa vật chất, báo chí, văn học).</w:t>
      </w:r>
    </w:p>
    <w:p w:rsidR="00874064" w:rsidRDefault="00874064" w:rsidP="00874064">
      <w:pPr>
        <w:spacing w:before="60" w:after="60"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Đặc điểm của văn hóa Việt Nam từ 1945 đến nay (</w:t>
      </w:r>
      <w:r w:rsidR="00305034">
        <w:rPr>
          <w:sz w:val="26"/>
          <w:szCs w:val="26"/>
          <w:lang w:val="pt-BR"/>
        </w:rPr>
        <w:t>s</w:t>
      </w:r>
      <w:r w:rsidRPr="00305034">
        <w:rPr>
          <w:sz w:val="26"/>
          <w:szCs w:val="26"/>
          <w:lang w:val="pt-BR"/>
        </w:rPr>
        <w:t xml:space="preserve">ự phát triển của văn hóa nghệ thuật chuyên nghiệp; </w:t>
      </w:r>
      <w:r w:rsidR="00305034">
        <w:rPr>
          <w:sz w:val="26"/>
          <w:szCs w:val="26"/>
          <w:lang w:val="pt-BR"/>
        </w:rPr>
        <w:t>k</w:t>
      </w:r>
      <w:r w:rsidRPr="00305034">
        <w:rPr>
          <w:sz w:val="26"/>
          <w:szCs w:val="26"/>
          <w:lang w:val="pt-BR"/>
        </w:rPr>
        <w:t xml:space="preserve">ế thừa và nâng cao các giá trị văn hóa truyền thống; </w:t>
      </w:r>
      <w:r w:rsidR="00305034">
        <w:rPr>
          <w:sz w:val="26"/>
          <w:szCs w:val="26"/>
          <w:lang w:val="pt-BR"/>
        </w:rPr>
        <w:t>g</w:t>
      </w:r>
      <w:r w:rsidR="00305034" w:rsidRPr="00305034">
        <w:rPr>
          <w:sz w:val="26"/>
          <w:szCs w:val="26"/>
          <w:lang w:val="pt-BR"/>
        </w:rPr>
        <w:t>iao lưu văn hóa ngày càng  mở rộng</w:t>
      </w:r>
      <w:r w:rsidRPr="00305034">
        <w:rPr>
          <w:sz w:val="26"/>
          <w:szCs w:val="26"/>
        </w:rPr>
        <w:t>).</w:t>
      </w:r>
    </w:p>
    <w:p w:rsidR="00305034" w:rsidRPr="00FE52CE" w:rsidRDefault="006C06B8" w:rsidP="00305034">
      <w:pPr>
        <w:spacing w:line="360" w:lineRule="auto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Tài liệu tham khảo: </w:t>
      </w:r>
      <w:r w:rsidR="00305034" w:rsidRPr="00FE52CE">
        <w:rPr>
          <w:i/>
          <w:sz w:val="26"/>
          <w:szCs w:val="26"/>
        </w:rPr>
        <w:t xml:space="preserve">Trần Quốc Vượng chủ biên (1998), Cơ sở văn hoá Việt Nam, Nxb Giáo dục, Hà Nội; Chu Xuân Diên (2002), Cơ sở văn hóa Việt Nam, Nxb Đại </w:t>
      </w:r>
      <w:r w:rsidR="00305034">
        <w:rPr>
          <w:i/>
          <w:sz w:val="26"/>
          <w:szCs w:val="26"/>
        </w:rPr>
        <w:t xml:space="preserve">học Quốc gia TP Hồ Chí Minh; Huỳnh Công Bá (2008), </w:t>
      </w:r>
      <w:r w:rsidR="00305034" w:rsidRPr="00FE52CE">
        <w:rPr>
          <w:i/>
          <w:sz w:val="26"/>
          <w:szCs w:val="26"/>
        </w:rPr>
        <w:t xml:space="preserve">Cơ sở văn hoá Việt Nam, Nxb </w:t>
      </w:r>
      <w:r w:rsidR="00305034">
        <w:rPr>
          <w:i/>
          <w:sz w:val="26"/>
          <w:szCs w:val="26"/>
        </w:rPr>
        <w:t>Thuận Hóa, Huế.</w:t>
      </w:r>
    </w:p>
    <w:p w:rsidR="0079207C" w:rsidRPr="00DF03B2" w:rsidRDefault="00FE52CE" w:rsidP="00B17805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920E09" w:rsidRPr="00DF03B2">
        <w:rPr>
          <w:b/>
          <w:sz w:val="26"/>
          <w:szCs w:val="26"/>
        </w:rPr>
        <w:t>Một số thành tố văn hóa Việt Nam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Tín ngưỡng, tôn giáo</w:t>
      </w:r>
      <w:r w:rsidR="00470824">
        <w:rPr>
          <w:sz w:val="26"/>
          <w:szCs w:val="26"/>
        </w:rPr>
        <w:t xml:space="preserve">: chú ý </w:t>
      </w:r>
      <w:r w:rsidR="00FE52CE">
        <w:rPr>
          <w:sz w:val="26"/>
          <w:szCs w:val="26"/>
        </w:rPr>
        <w:t>khái niệm tín ngưỡng;</w:t>
      </w:r>
      <w:r w:rsidR="006A025A">
        <w:rPr>
          <w:sz w:val="26"/>
          <w:szCs w:val="26"/>
        </w:rPr>
        <w:t xml:space="preserve"> </w:t>
      </w:r>
      <w:r w:rsidR="00FE52CE">
        <w:rPr>
          <w:sz w:val="26"/>
          <w:szCs w:val="26"/>
        </w:rPr>
        <w:t>tín ngưỡng sùng bái tự nhiên;</w:t>
      </w:r>
      <w:r w:rsidR="00470824">
        <w:rPr>
          <w:sz w:val="26"/>
          <w:szCs w:val="26"/>
        </w:rPr>
        <w:t xml:space="preserve"> tín ngưỡng </w:t>
      </w:r>
      <w:r w:rsidR="00494028">
        <w:rPr>
          <w:sz w:val="26"/>
          <w:szCs w:val="26"/>
        </w:rPr>
        <w:t>phồn thực</w:t>
      </w:r>
      <w:r w:rsidR="006A025A">
        <w:rPr>
          <w:sz w:val="26"/>
          <w:szCs w:val="26"/>
        </w:rPr>
        <w:t xml:space="preserve"> (khái niệm, biểu hiện của từng loại tín ngưỡng)</w:t>
      </w:r>
      <w:r w:rsidR="00494028">
        <w:rPr>
          <w:sz w:val="26"/>
          <w:szCs w:val="26"/>
        </w:rPr>
        <w:t>.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Văn hóa giao tiếp</w:t>
      </w:r>
      <w:r w:rsidR="00494028">
        <w:rPr>
          <w:sz w:val="26"/>
          <w:szCs w:val="26"/>
        </w:rPr>
        <w:t xml:space="preserve">: Đặc </w:t>
      </w:r>
      <w:r w:rsidR="00C0513F">
        <w:rPr>
          <w:sz w:val="26"/>
          <w:szCs w:val="26"/>
        </w:rPr>
        <w:t>trưng</w:t>
      </w:r>
      <w:r w:rsidR="00494028">
        <w:rPr>
          <w:sz w:val="26"/>
          <w:szCs w:val="26"/>
        </w:rPr>
        <w:t xml:space="preserve"> trong văn hóa giao tiếp của người Việt</w:t>
      </w:r>
      <w:r w:rsidR="00C0513F">
        <w:rPr>
          <w:sz w:val="26"/>
          <w:szCs w:val="26"/>
        </w:rPr>
        <w:t xml:space="preserve"> (về thái độ</w:t>
      </w:r>
      <w:r w:rsidR="00010A6F">
        <w:rPr>
          <w:sz w:val="26"/>
          <w:szCs w:val="26"/>
        </w:rPr>
        <w:t xml:space="preserve"> giao tiếp</w:t>
      </w:r>
      <w:r w:rsidR="00C0513F">
        <w:rPr>
          <w:sz w:val="26"/>
          <w:szCs w:val="26"/>
        </w:rPr>
        <w:t>, quan hệ</w:t>
      </w:r>
      <w:r w:rsidR="00010A6F">
        <w:rPr>
          <w:sz w:val="26"/>
          <w:szCs w:val="26"/>
        </w:rPr>
        <w:t xml:space="preserve"> giao tiếp</w:t>
      </w:r>
      <w:r w:rsidR="00C0513F">
        <w:rPr>
          <w:sz w:val="26"/>
          <w:szCs w:val="26"/>
        </w:rPr>
        <w:t>, đối tượng</w:t>
      </w:r>
      <w:r w:rsidR="00010A6F">
        <w:rPr>
          <w:sz w:val="26"/>
          <w:szCs w:val="26"/>
        </w:rPr>
        <w:t xml:space="preserve"> giao tiếp</w:t>
      </w:r>
      <w:r w:rsidR="00C0513F">
        <w:rPr>
          <w:sz w:val="26"/>
          <w:szCs w:val="26"/>
        </w:rPr>
        <w:t>, chủ thể</w:t>
      </w:r>
      <w:r w:rsidR="00010A6F">
        <w:rPr>
          <w:sz w:val="26"/>
          <w:szCs w:val="26"/>
        </w:rPr>
        <w:t xml:space="preserve"> giao tiếp</w:t>
      </w:r>
      <w:r w:rsidR="00C0513F">
        <w:rPr>
          <w:sz w:val="26"/>
          <w:szCs w:val="26"/>
        </w:rPr>
        <w:t>, cách thức</w:t>
      </w:r>
      <w:r w:rsidR="00010A6F">
        <w:rPr>
          <w:sz w:val="26"/>
          <w:szCs w:val="26"/>
        </w:rPr>
        <w:t xml:space="preserve"> giao tiếp</w:t>
      </w:r>
      <w:r w:rsidR="00C0513F">
        <w:rPr>
          <w:sz w:val="26"/>
          <w:szCs w:val="26"/>
        </w:rPr>
        <w:t xml:space="preserve"> và hệ thống nghi thức lời nói).</w:t>
      </w:r>
    </w:p>
    <w:p w:rsidR="00920E09" w:rsidRDefault="00920E09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Kiến trúc, điêu khắc</w:t>
      </w:r>
      <w:r w:rsidR="00494028">
        <w:rPr>
          <w:sz w:val="26"/>
          <w:szCs w:val="26"/>
        </w:rPr>
        <w:t>:</w:t>
      </w:r>
      <w:r w:rsidR="00FE52CE">
        <w:rPr>
          <w:sz w:val="26"/>
          <w:szCs w:val="26"/>
        </w:rPr>
        <w:t xml:space="preserve"> </w:t>
      </w:r>
      <w:r w:rsidR="008B4D83">
        <w:rPr>
          <w:sz w:val="26"/>
          <w:szCs w:val="26"/>
        </w:rPr>
        <w:t>Đặc điểm kiến trúc, điêu khắc thời Lý - Trần và thời Nguyễn.</w:t>
      </w:r>
    </w:p>
    <w:p w:rsidR="00761FB0" w:rsidRPr="00FE52CE" w:rsidRDefault="00DF03B2" w:rsidP="00FE52CE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FE52CE">
        <w:rPr>
          <w:i/>
          <w:sz w:val="26"/>
          <w:szCs w:val="26"/>
        </w:rPr>
        <w:t xml:space="preserve">- Tài liệu tham khảo: </w:t>
      </w:r>
      <w:r w:rsidR="0016460E" w:rsidRPr="00FE52CE">
        <w:rPr>
          <w:i/>
          <w:sz w:val="26"/>
          <w:szCs w:val="26"/>
        </w:rPr>
        <w:t>Trần Ngọc Thêm (1997), Tìm về bản sắc văn hoá Việt Nam, NXB. Thành phố Hồ Chí Minh</w:t>
      </w:r>
      <w:r w:rsidRPr="00FE52CE">
        <w:rPr>
          <w:i/>
          <w:sz w:val="26"/>
          <w:szCs w:val="26"/>
        </w:rPr>
        <w:t xml:space="preserve">; </w:t>
      </w:r>
      <w:r w:rsidR="0016460E" w:rsidRPr="00FE52CE">
        <w:rPr>
          <w:i/>
          <w:sz w:val="26"/>
          <w:szCs w:val="26"/>
        </w:rPr>
        <w:t>Trần Quốc Vượng chủ biên (1998), Cơ sở văn hoá Việt Nam, Nxb Giáo dục, Hà Nội</w:t>
      </w:r>
      <w:r w:rsidR="00761FB0" w:rsidRPr="00FE52CE">
        <w:rPr>
          <w:i/>
          <w:sz w:val="26"/>
          <w:szCs w:val="26"/>
        </w:rPr>
        <w:t>; Chu Xuân Diên (2002), Cơ sở văn hóa Việt Nam, Nxb Đại học Quốc gia TP Hồ Chí Minh.</w:t>
      </w:r>
    </w:p>
    <w:p w:rsidR="0079207C" w:rsidRPr="00DF03B2" w:rsidRDefault="00FE52CE" w:rsidP="00B17805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79207C" w:rsidRPr="00DF03B2">
        <w:rPr>
          <w:b/>
          <w:sz w:val="26"/>
          <w:szCs w:val="26"/>
        </w:rPr>
        <w:t>.</w:t>
      </w:r>
      <w:r w:rsidR="00920E09" w:rsidRPr="00DF03B2">
        <w:rPr>
          <w:b/>
          <w:sz w:val="26"/>
          <w:szCs w:val="26"/>
        </w:rPr>
        <w:t xml:space="preserve"> Văn hóa Chămpa</w:t>
      </w:r>
    </w:p>
    <w:p w:rsidR="00470824" w:rsidRDefault="00470824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Không gian</w:t>
      </w:r>
    </w:p>
    <w:p w:rsidR="00470824" w:rsidRDefault="00470824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Thời gian tồn tại</w:t>
      </w:r>
    </w:p>
    <w:p w:rsidR="00470824" w:rsidRDefault="00470824" w:rsidP="00B1780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Đặc trưng văn hóa</w:t>
      </w:r>
    </w:p>
    <w:p w:rsidR="0016460E" w:rsidRPr="00FE52CE" w:rsidRDefault="00DF03B2" w:rsidP="00FE52CE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FE52CE">
        <w:rPr>
          <w:i/>
          <w:sz w:val="26"/>
          <w:szCs w:val="26"/>
        </w:rPr>
        <w:t xml:space="preserve">- Tài liệu tham khảo: </w:t>
      </w:r>
      <w:r w:rsidR="0016460E" w:rsidRPr="00FE52CE">
        <w:rPr>
          <w:i/>
          <w:sz w:val="26"/>
          <w:szCs w:val="26"/>
        </w:rPr>
        <w:t xml:space="preserve">Chu Xuân Diên (2002), Cơ sở văn hóa Việt Nam, Nxb Đại </w:t>
      </w:r>
      <w:r w:rsidR="00875010" w:rsidRPr="00FE52CE">
        <w:rPr>
          <w:i/>
          <w:sz w:val="26"/>
          <w:szCs w:val="26"/>
        </w:rPr>
        <w:t>học Quốc gia TP Hồ Chí Minh; Trần Ngọc Thêm (2000), Cơ sở văn hoá Việt Nam, Nxb Giáo dục.</w:t>
      </w:r>
    </w:p>
    <w:p w:rsidR="0079207C" w:rsidRPr="00DF03B2" w:rsidRDefault="00FE52CE" w:rsidP="00B17805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79207C" w:rsidRPr="00DF03B2">
        <w:rPr>
          <w:b/>
          <w:sz w:val="26"/>
          <w:szCs w:val="26"/>
        </w:rPr>
        <w:t>.</w:t>
      </w:r>
      <w:r w:rsidR="00920E09" w:rsidRPr="00DF03B2">
        <w:rPr>
          <w:b/>
          <w:sz w:val="26"/>
          <w:szCs w:val="26"/>
        </w:rPr>
        <w:t xml:space="preserve"> Văn hóa Phù Nam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Không gian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Thời gian tồn tại</w:t>
      </w:r>
    </w:p>
    <w:p w:rsidR="00470824" w:rsidRDefault="00470824" w:rsidP="0047082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Đặc trưng văn hóa</w:t>
      </w:r>
    </w:p>
    <w:p w:rsidR="0016460E" w:rsidRPr="00FE52CE" w:rsidRDefault="00DF03B2" w:rsidP="00FE52CE">
      <w:pPr>
        <w:spacing w:line="360" w:lineRule="auto"/>
        <w:ind w:firstLine="567"/>
        <w:jc w:val="both"/>
        <w:rPr>
          <w:i/>
          <w:sz w:val="26"/>
          <w:szCs w:val="26"/>
        </w:rPr>
      </w:pPr>
      <w:r w:rsidRPr="00FE52CE">
        <w:rPr>
          <w:i/>
          <w:sz w:val="26"/>
          <w:szCs w:val="26"/>
        </w:rPr>
        <w:t xml:space="preserve">- Tài liệu tham khảo: </w:t>
      </w:r>
      <w:r w:rsidR="0016460E" w:rsidRPr="00FE52CE">
        <w:rPr>
          <w:i/>
          <w:sz w:val="26"/>
          <w:szCs w:val="26"/>
        </w:rPr>
        <w:t>Chu Xuân Diên (2002), Cơ sở văn hóa Việt Nam, Nxb Đại học Quốc gia TP Hồ Chí Minh.</w:t>
      </w:r>
    </w:p>
    <w:p w:rsidR="00DF03B2" w:rsidRPr="00754C3F" w:rsidRDefault="00754C3F" w:rsidP="00470824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754C3F">
        <w:rPr>
          <w:b/>
          <w:sz w:val="26"/>
          <w:szCs w:val="26"/>
        </w:rPr>
        <w:t>-----------------------------HẾT---------------------------------</w:t>
      </w:r>
    </w:p>
    <w:sectPr w:rsidR="00DF03B2" w:rsidRPr="00754C3F" w:rsidSect="00062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characterSpacingControl w:val="doNotCompress"/>
  <w:compat/>
  <w:rsids>
    <w:rsidRoot w:val="00CB30CF"/>
    <w:rsid w:val="00010A6F"/>
    <w:rsid w:val="00050091"/>
    <w:rsid w:val="00062E92"/>
    <w:rsid w:val="00157ADE"/>
    <w:rsid w:val="0016460E"/>
    <w:rsid w:val="00276C79"/>
    <w:rsid w:val="002D4676"/>
    <w:rsid w:val="002E287B"/>
    <w:rsid w:val="002E6CC1"/>
    <w:rsid w:val="00305034"/>
    <w:rsid w:val="0031759C"/>
    <w:rsid w:val="00355372"/>
    <w:rsid w:val="00355CEA"/>
    <w:rsid w:val="00470824"/>
    <w:rsid w:val="00494028"/>
    <w:rsid w:val="00575612"/>
    <w:rsid w:val="005B6ECA"/>
    <w:rsid w:val="005E4810"/>
    <w:rsid w:val="006662F3"/>
    <w:rsid w:val="0066740F"/>
    <w:rsid w:val="00675A9E"/>
    <w:rsid w:val="006A025A"/>
    <w:rsid w:val="006C06B8"/>
    <w:rsid w:val="00744145"/>
    <w:rsid w:val="00754C3F"/>
    <w:rsid w:val="00761FB0"/>
    <w:rsid w:val="0079207C"/>
    <w:rsid w:val="008335C6"/>
    <w:rsid w:val="00860C06"/>
    <w:rsid w:val="00861EB8"/>
    <w:rsid w:val="00874064"/>
    <w:rsid w:val="00875010"/>
    <w:rsid w:val="008B4D83"/>
    <w:rsid w:val="008C4854"/>
    <w:rsid w:val="00920E09"/>
    <w:rsid w:val="00965F56"/>
    <w:rsid w:val="00971B41"/>
    <w:rsid w:val="00A520ED"/>
    <w:rsid w:val="00B17805"/>
    <w:rsid w:val="00B44DC7"/>
    <w:rsid w:val="00B921D9"/>
    <w:rsid w:val="00BC46CA"/>
    <w:rsid w:val="00C0513F"/>
    <w:rsid w:val="00C83D4B"/>
    <w:rsid w:val="00C85CD7"/>
    <w:rsid w:val="00CB30CF"/>
    <w:rsid w:val="00CC30B9"/>
    <w:rsid w:val="00D5797D"/>
    <w:rsid w:val="00D8138B"/>
    <w:rsid w:val="00DF03B2"/>
    <w:rsid w:val="00E83DDB"/>
    <w:rsid w:val="00E852E2"/>
    <w:rsid w:val="00EC6293"/>
    <w:rsid w:val="00F1122E"/>
    <w:rsid w:val="00F77862"/>
    <w:rsid w:val="00FE52CE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E4810"/>
    <w:pPr>
      <w:keepNext/>
      <w:outlineLvl w:val="2"/>
    </w:pPr>
    <w:rPr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B30C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E4810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2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A520E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520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520E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75612"/>
    <w:pPr>
      <w:ind w:left="720"/>
      <w:contextualSpacing/>
    </w:pPr>
  </w:style>
  <w:style w:type="paragraph" w:customStyle="1" w:styleId="2">
    <w:name w:val="2"/>
    <w:basedOn w:val="NormalWeb"/>
    <w:link w:val="2Char"/>
    <w:qFormat/>
    <w:rsid w:val="00575612"/>
    <w:pPr>
      <w:spacing w:before="60" w:beforeAutospacing="0" w:after="60" w:afterAutospacing="0" w:line="400" w:lineRule="atLeast"/>
      <w:ind w:firstLine="397"/>
      <w:jc w:val="both"/>
    </w:pPr>
    <w:rPr>
      <w:b/>
    </w:rPr>
  </w:style>
  <w:style w:type="character" w:customStyle="1" w:styleId="2Char">
    <w:name w:val="2 Char"/>
    <w:link w:val="2"/>
    <w:rsid w:val="00575612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Hien</cp:lastModifiedBy>
  <cp:revision>27</cp:revision>
  <dcterms:created xsi:type="dcterms:W3CDTF">2017-05-30T09:05:00Z</dcterms:created>
  <dcterms:modified xsi:type="dcterms:W3CDTF">2018-05-17T18:04:00Z</dcterms:modified>
</cp:coreProperties>
</file>